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bookmarkStart w:id="0" w:name="_Hlk5963822"/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ascii="黑体" w:hAnsi="黑体" w:eastAsia="黑体"/>
          <w:sz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年关务水平评价（中级）</w:t>
      </w:r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大纲</w:t>
      </w:r>
    </w:p>
    <w:p>
      <w:pPr>
        <w:pStyle w:val="2"/>
        <w:spacing w:beforeLines="0" w:line="560" w:lineRule="exact"/>
        <w:ind w:firstLine="0" w:firstLineChars="0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1" w:name="_Hlk521741404"/>
    </w:p>
    <w:p>
      <w:pPr>
        <w:pStyle w:val="2"/>
        <w:spacing w:beforeLines="0" w:line="560" w:lineRule="exact"/>
        <w:ind w:firstLine="0" w:firstLineChars="0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bookmarkStart w:id="3" w:name="_GoBack"/>
      <w:bookmarkEnd w:id="3"/>
      <w:r>
        <w:rPr>
          <w:rFonts w:hint="eastAsia" w:ascii="方正黑体_GBK" w:hAnsi="方正黑体_GBK" w:eastAsia="方正黑体_GBK" w:cs="方正黑体_GBK"/>
          <w:sz w:val="32"/>
          <w:szCs w:val="32"/>
        </w:rPr>
        <w:t>第一部分  综合业务技能（智能化考试）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bookmarkStart w:id="2" w:name="_Toc521831647"/>
      <w:r>
        <w:rPr>
          <w:rFonts w:hint="eastAsia" w:ascii="方正黑体_GBK" w:hAnsi="方正黑体_GBK" w:eastAsia="方正黑体_GBK" w:cs="方正黑体_GBK"/>
        </w:rPr>
        <w:t>一、国际贸易实务</w:t>
      </w:r>
    </w:p>
    <w:p>
      <w:pPr>
        <w:pStyle w:val="2"/>
        <w:spacing w:beforeLines="0" w:line="560" w:lineRule="exact"/>
        <w:rPr>
          <w:rFonts w:ascii="Times New Roman" w:hAnsi="Times New Roman" w:eastAsia="方正仿宋_GBK" w:cs="Times New Roman"/>
        </w:rPr>
      </w:pPr>
      <w:r>
        <w:rPr>
          <w:rFonts w:hint="eastAsia" w:ascii="方正仿宋_GBK" w:hAnsi="方正仿宋_GBK" w:eastAsia="方正仿宋_GBK" w:cs="方正仿宋_GBK"/>
        </w:rPr>
        <w:t>（一）</w:t>
      </w:r>
      <w:r>
        <w:rPr>
          <w:rFonts w:ascii="Times New Roman" w:hAnsi="Times New Roman" w:eastAsia="方正仿宋_GBK" w:cs="Times New Roman"/>
        </w:rPr>
        <w:t>incoterms2020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（二）进出口合同主要条款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（三）国际贸易单证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二、国际货运实务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（四）国际货运代理的业务范围与责任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（五）国际货物运输的对象、分类、包装及特点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（六）国际货运业务流程、相关单证与运费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（七）集装箱运输与国际多式联运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（八）危险货物与危险化学品的国际运输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三、贸易管理措施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（九）我国禁止、限制、自由进出口货物管理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（十）我国进出口货物的许可证件管理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（十一）出入境检验检疫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1.食品及食品添加剂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2.肉类、水产品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3.化妆品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4.药品、医疗器械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5.进口旧机电产品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6.危险化学品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7.进口强制性认证产品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8.特殊物品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9.特种设备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四、进出境通关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（十二）提前申报、两步申报、补充申报、修改与撤销申报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（十三）特殊监管方式的申报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（十四）海关事务担保申请、延期与销案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（十五）配合海关查验及验估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（十六）报关单填报及单一窗口运用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（十七）知识产权海关保护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五、海关稽核查及行政处罚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（十八）海关稽核查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（十九）主动披露、海关违规案件处置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六、保税加工与保税物流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仿宋_GBK" w:hAnsi="方正仿宋_GBK" w:eastAsia="方正仿宋_GBK" w:cs="方正仿宋_GBK"/>
        </w:rPr>
        <w:t>（二十）保税加工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1.手册与账册设立、变更、单损耗管理、核销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2.外发加工、异地加工、深加工结转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3.内销、退运、余料结转、抵押、销毁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4.集团保税加工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 xml:space="preserve">5.出境加工 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6.保税核注清单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（二十一）保税物流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1.进出境、进出区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2.区内流转、区间流转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3.保税维修、保税展示、保税租赁、保税研发</w:t>
      </w:r>
    </w:p>
    <w:p>
      <w:pPr>
        <w:pStyle w:val="2"/>
        <w:spacing w:beforeLines="0" w:line="560" w:lineRule="exact"/>
        <w:ind w:left="1050" w:leftChars="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4.保税核注清单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七、特定减免税货物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（二十二）减免税审核确认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（二十三）减免税货物税款担保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（二十四）减免税货物的管理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（二十五）减免税货物抵押、转让、移作他用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八、跨境贸易电子商务</w:t>
      </w:r>
    </w:p>
    <w:p>
      <w:pPr>
        <w:pStyle w:val="2"/>
        <w:spacing w:beforeLines="0" w:line="560" w:lineRule="exact"/>
        <w:rPr>
          <w:rFonts w:ascii="Times New Roman" w:hAnsi="Times New Roman" w:eastAsia="方正仿宋_GBK" w:cs="Times New Roman"/>
        </w:rPr>
      </w:pPr>
      <w:r>
        <w:rPr>
          <w:rFonts w:hint="eastAsia" w:ascii="方正仿宋_GBK" w:hAnsi="方正仿宋_GBK" w:eastAsia="方正仿宋_GBK" w:cs="方正仿宋_GBK"/>
        </w:rPr>
        <w:t>（二十六）跨境贸易电子商务进出</w:t>
      </w:r>
      <w:r>
        <w:rPr>
          <w:rFonts w:ascii="Times New Roman" w:hAnsi="Times New Roman" w:eastAsia="方正仿宋_GBK" w:cs="Times New Roman"/>
        </w:rPr>
        <w:t>口（9610）</w:t>
      </w:r>
    </w:p>
    <w:p>
      <w:pPr>
        <w:pStyle w:val="2"/>
        <w:spacing w:beforeLines="0" w:line="560" w:lineRule="exact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（二十七）保税跨境电子商务进口（1210、1239）</w:t>
      </w:r>
    </w:p>
    <w:p>
      <w:pPr>
        <w:pStyle w:val="2"/>
        <w:spacing w:beforeLines="0" w:line="560" w:lineRule="exact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（二十八）跨境电商B2B直接出口（9710）</w:t>
      </w:r>
    </w:p>
    <w:p>
      <w:pPr>
        <w:pStyle w:val="2"/>
        <w:spacing w:beforeLines="0" w:line="560" w:lineRule="exact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（二十九）跨境电商出口海外仓（9810）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（三十）跨境电商进出口统一版申报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九、商品归类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（三十一）商品归类运用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（三十二）规范申报要素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十、税费筹划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（三十三）进出口货物完税价格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（三十四）关税税率适用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（三十五）原产地规则运用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（三十六）税费计算方法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（三十七）税费减、免、退、补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（三十八）汇总征税的运用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十一、海关企业信用管理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（三十九）企业信用分类管理措施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（四十）企业信用认定标准及程序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十二、形势与政策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（四十一）</w:t>
      </w:r>
      <w:r>
        <w:rPr>
          <w:rFonts w:ascii="Times New Roman" w:hAnsi="Times New Roman" w:eastAsia="方正仿宋_GBK" w:cs="Times New Roman"/>
        </w:rPr>
        <w:t>RCEP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（四十二）出口管制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（四十三）优化口岸营商环境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（四十四）跨境贸易便利化创新试点措施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（四十五）自由贸易港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（四十六）</w:t>
      </w:r>
      <w:r>
        <w:rPr>
          <w:rFonts w:ascii="Times New Roman" w:hAnsi="Times New Roman" w:eastAsia="方正仿宋_GBK" w:cs="Times New Roman"/>
        </w:rPr>
        <w:t>DEPA（</w:t>
      </w:r>
      <w:r>
        <w:rPr>
          <w:rFonts w:ascii="方正仿宋_GBK" w:hAnsi="方正仿宋_GBK" w:eastAsia="方正仿宋_GBK" w:cs="方正仿宋_GBK"/>
        </w:rPr>
        <w:t>数字经济伙伴协议）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（四十七）“智慧海关、智能边境、智享联通”，建设智慧海关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（四十八）关于高水平开放的二十大精神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（四十九）海关系统促进外贸保稳提质、助企纾困降成本各项措施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（五十）单一窗口国际合作</w:t>
      </w:r>
    </w:p>
    <w:p>
      <w:pPr>
        <w:pStyle w:val="2"/>
        <w:spacing w:beforeLines="0" w:line="5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十三、相关法律法规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（五十一）《中华人民共和国对外贸易法》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（五十二）《中华人民共和国海关法》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（五十三）《中华人民共和国进出口商品检验法》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（五十四）《中华人民共和国进出境动植物检疫法》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（五十五）《中华人民共和国国境卫生检疫法》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（五十六）《中华人民共和国食品安全法》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（五十七）《中华人民共和国出口管制法》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（五十八）《中华人民共和国药品管理法》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（五十九）《中华人民共和国电子商务法》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（六十）《中华人民共和国行政处罚法》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（六十一）《优化营商环境条例》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（六十二）《中华人民共和国进出口关税条例》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（六十三）《中华人民共和国海关稽查条例》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（六十四）《中华人民共和国海关行政处罚实施条例》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（六十五）《中华人民共和国知识产权海关保护条例》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（六十六）《中华人民共和国海关事务担保条例》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（六十七）《中华人民共和国海关统计条例》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（六十八）《中华人民共和国进出口货物原产地条例》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（六十九）《中华人民共和国进出口商品检验法实施条例》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（七十）《中华人民共和国进出境动植物检疫法实施条例》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（七十一）《中华人民共和国食品安全法实施条例》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（七十二）《中华人民共和国国境卫生检疫法实施细则》</w:t>
      </w:r>
    </w:p>
    <w:p>
      <w:pPr>
        <w:pStyle w:val="2"/>
        <w:spacing w:beforeLines="0"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（七十三）海关总署发布的其他重要公告和署令</w:t>
      </w:r>
    </w:p>
    <w:bookmarkEnd w:id="1"/>
    <w:bookmarkEnd w:id="2"/>
    <w:p>
      <w:pPr>
        <w:pStyle w:val="2"/>
        <w:spacing w:beforeLines="0" w:line="560" w:lineRule="exact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注：2023年关务水平评价（中级）所涉及到的法律、法规、海关总署令及公告范围截止至2023年6月30日前已经生效实施的。</w:t>
      </w:r>
    </w:p>
    <w:p>
      <w:pPr>
        <w:adjustRightInd w:val="0"/>
        <w:spacing w:line="560" w:lineRule="exact"/>
        <w:ind w:firstLine="720" w:firstLineChars="200"/>
        <w:jc w:val="center"/>
        <w:outlineLvl w:val="0"/>
        <w:rPr>
          <w:rFonts w:ascii="方正小标宋_GBK" w:hAnsi="方正小标宋_GBK" w:eastAsia="方正小标宋_GBK" w:cs="方正小标宋_GBK"/>
          <w:bCs/>
          <w:color w:val="000000"/>
          <w:sz w:val="36"/>
          <w:szCs w:val="36"/>
        </w:rPr>
      </w:pPr>
    </w:p>
    <w:p>
      <w:pPr>
        <w:adjustRightInd w:val="0"/>
        <w:spacing w:line="560" w:lineRule="exact"/>
        <w:ind w:firstLine="720" w:firstLineChars="200"/>
        <w:jc w:val="center"/>
        <w:outlineLvl w:val="0"/>
        <w:rPr>
          <w:rFonts w:ascii="方正小标宋_GBK" w:hAnsi="方正小标宋_GBK" w:eastAsia="方正小标宋_GBK" w:cs="方正小标宋_GBK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第二部分  综合职业素养（书面评审）</w:t>
      </w:r>
    </w:p>
    <w:p>
      <w:pPr>
        <w:adjustRightInd w:val="0"/>
        <w:spacing w:line="560" w:lineRule="exact"/>
        <w:ind w:firstLine="560" w:firstLineChars="200"/>
        <w:outlineLvl w:val="0"/>
        <w:rPr>
          <w:rFonts w:hint="eastAsia" w:ascii="Times New Roman" w:hAnsi="Times New Roman" w:eastAsia="方正仿宋_GBK" w:cs="Times New Roman"/>
          <w:kern w:val="0"/>
          <w:sz w:val="28"/>
          <w:szCs w:val="31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31"/>
        </w:rPr>
        <w:t>题目及相关要求另行通知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80867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ZGY0ZmZhNWY5ZWIyNjgyYmM4MGZlMGEwMmQ2NTIifQ=="/>
  </w:docVars>
  <w:rsids>
    <w:rsidRoot w:val="00FB2FF5"/>
    <w:rsid w:val="000271BC"/>
    <w:rsid w:val="00060759"/>
    <w:rsid w:val="00092371"/>
    <w:rsid w:val="000E5771"/>
    <w:rsid w:val="000F3E44"/>
    <w:rsid w:val="00143286"/>
    <w:rsid w:val="001C1A48"/>
    <w:rsid w:val="001E4F3F"/>
    <w:rsid w:val="001E5818"/>
    <w:rsid w:val="0024088A"/>
    <w:rsid w:val="00264897"/>
    <w:rsid w:val="00280AB7"/>
    <w:rsid w:val="00302A53"/>
    <w:rsid w:val="00347CCD"/>
    <w:rsid w:val="00357F8E"/>
    <w:rsid w:val="00370C74"/>
    <w:rsid w:val="003915BE"/>
    <w:rsid w:val="003C30E0"/>
    <w:rsid w:val="004233C0"/>
    <w:rsid w:val="00447B6C"/>
    <w:rsid w:val="004520E8"/>
    <w:rsid w:val="004A33C0"/>
    <w:rsid w:val="004A7885"/>
    <w:rsid w:val="004E765A"/>
    <w:rsid w:val="004F1D7F"/>
    <w:rsid w:val="005B5B52"/>
    <w:rsid w:val="00623F97"/>
    <w:rsid w:val="006375CB"/>
    <w:rsid w:val="0065588B"/>
    <w:rsid w:val="00672F4A"/>
    <w:rsid w:val="006C32D6"/>
    <w:rsid w:val="007228D5"/>
    <w:rsid w:val="00871876"/>
    <w:rsid w:val="00872410"/>
    <w:rsid w:val="00925821"/>
    <w:rsid w:val="00927A67"/>
    <w:rsid w:val="009A5408"/>
    <w:rsid w:val="00A324B5"/>
    <w:rsid w:val="00A35C98"/>
    <w:rsid w:val="00A5523A"/>
    <w:rsid w:val="00AC109B"/>
    <w:rsid w:val="00AF41AA"/>
    <w:rsid w:val="00BA4C3F"/>
    <w:rsid w:val="00BE4566"/>
    <w:rsid w:val="00C169A5"/>
    <w:rsid w:val="00C80ABA"/>
    <w:rsid w:val="00CD4C88"/>
    <w:rsid w:val="00D03767"/>
    <w:rsid w:val="00D1571E"/>
    <w:rsid w:val="00D72A09"/>
    <w:rsid w:val="00D842C3"/>
    <w:rsid w:val="00DC5287"/>
    <w:rsid w:val="00E737F0"/>
    <w:rsid w:val="00EA1C15"/>
    <w:rsid w:val="00EB05E4"/>
    <w:rsid w:val="00EC05AE"/>
    <w:rsid w:val="00EE63E4"/>
    <w:rsid w:val="00F017B2"/>
    <w:rsid w:val="00F54D88"/>
    <w:rsid w:val="00FB2FF5"/>
    <w:rsid w:val="00FB4866"/>
    <w:rsid w:val="00FF6128"/>
    <w:rsid w:val="205E1FA5"/>
    <w:rsid w:val="43DC19C0"/>
    <w:rsid w:val="5863648C"/>
    <w:rsid w:val="59620933"/>
    <w:rsid w:val="5EF83E73"/>
    <w:rsid w:val="5FFF1525"/>
    <w:rsid w:val="606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spacing w:beforeLines="50"/>
      <w:ind w:firstLine="560" w:firstLineChars="200"/>
      <w:jc w:val="left"/>
    </w:pPr>
    <w:rPr>
      <w:rFonts w:ascii="仿宋" w:hAnsi="仿宋" w:eastAsia="仿宋"/>
      <w:kern w:val="0"/>
      <w:sz w:val="28"/>
      <w:szCs w:val="31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2">
    <w:name w:val="列表段落 字符"/>
    <w:basedOn w:val="7"/>
    <w:link w:val="11"/>
    <w:qFormat/>
    <w:uiPriority w:val="34"/>
  </w:style>
  <w:style w:type="character" w:customStyle="1" w:styleId="13">
    <w:name w:val="页眉 字符"/>
    <w:basedOn w:val="7"/>
    <w:link w:val="4"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5">
    <w:name w:val="正文文本 字符"/>
    <w:basedOn w:val="7"/>
    <w:link w:val="2"/>
    <w:qFormat/>
    <w:uiPriority w:val="1"/>
    <w:rPr>
      <w:rFonts w:ascii="仿宋" w:hAnsi="仿宋" w:eastAsia="仿宋"/>
      <w:kern w:val="0"/>
      <w:sz w:val="28"/>
      <w:szCs w:val="31"/>
    </w:rPr>
  </w:style>
  <w:style w:type="character" w:customStyle="1" w:styleId="16">
    <w:name w:val="auto-style11"/>
    <w:basedOn w:val="7"/>
    <w:uiPriority w:val="0"/>
  </w:style>
  <w:style w:type="character" w:customStyle="1" w:styleId="17">
    <w:name w:val="img-responsive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1630</Words>
  <Characters>1694</Characters>
  <Lines>1</Lines>
  <Paragraphs>4</Paragraphs>
  <TotalTime>17</TotalTime>
  <ScaleCrop>false</ScaleCrop>
  <LinksUpToDate>false</LinksUpToDate>
  <CharactersWithSpaces>1699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2021-03-29T02:16:00Z</dcterms:created>
  <dc:creator>振国 吴</dc:creator>
  <cp:lastModifiedBy>婷</cp:lastModifiedBy>
  <dcterms:modified xsi:type="dcterms:W3CDTF">2023-04-11T07:05:51Z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253015769_btnclosed</vt:lpwstr>
  </property>
  <property fmtid="{D5CDD505-2E9C-101B-9397-08002B2CF9AE}" pid="4" name="ICV">
    <vt:lpwstr>ADF45715047F4D3E977A3B8AA2491B71_13</vt:lpwstr>
  </property>
</Properties>
</file>